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23E" w:rsidRPr="0063423E" w:rsidRDefault="0063423E" w:rsidP="0063423E">
      <w:pPr>
        <w:spacing w:after="0" w:line="240" w:lineRule="auto"/>
        <w:jc w:val="center"/>
        <w:rPr>
          <w:rFonts w:eastAsia="Times New Roman" w:cs="Times New Roman"/>
          <w:szCs w:val="24"/>
          <w:lang w:eastAsia="es-CO"/>
        </w:rPr>
      </w:pPr>
      <w:r w:rsidRPr="0063423E">
        <w:rPr>
          <w:rFonts w:ascii="Segoe UI" w:eastAsia="Times New Roman" w:hAnsi="Segoe UI" w:cs="Segoe UI"/>
          <w:b/>
          <w:bCs/>
          <w:color w:val="0000FF"/>
          <w:sz w:val="28"/>
          <w:lang w:eastAsia="es-CO"/>
        </w:rPr>
        <w:t>OFICIO Nº 027199</w:t>
      </w:r>
    </w:p>
    <w:p w:rsidR="0063423E" w:rsidRPr="0063423E" w:rsidRDefault="0063423E" w:rsidP="0063423E">
      <w:pPr>
        <w:spacing w:after="0" w:line="240" w:lineRule="auto"/>
        <w:jc w:val="center"/>
        <w:rPr>
          <w:rFonts w:eastAsia="Times New Roman" w:cs="Times New Roman"/>
          <w:szCs w:val="24"/>
          <w:lang w:eastAsia="es-CO"/>
        </w:rPr>
      </w:pPr>
      <w:r w:rsidRPr="0063423E">
        <w:rPr>
          <w:rFonts w:ascii="Segoe UI" w:eastAsia="Times New Roman" w:hAnsi="Segoe UI" w:cs="Segoe UI"/>
          <w:b/>
          <w:color w:val="0000FF"/>
          <w:sz w:val="28"/>
          <w:lang w:eastAsia="es-CO"/>
        </w:rPr>
        <w:t>18-09-</w:t>
      </w:r>
      <w:r w:rsidRPr="0063423E">
        <w:rPr>
          <w:rFonts w:ascii="Segoe UI" w:eastAsia="Times New Roman" w:hAnsi="Segoe UI" w:cs="Segoe UI"/>
          <w:b/>
          <w:bCs/>
          <w:color w:val="0000FF"/>
          <w:sz w:val="28"/>
          <w:lang w:eastAsia="es-CO"/>
        </w:rPr>
        <w:t>2015</w:t>
      </w:r>
    </w:p>
    <w:p w:rsidR="0063423E" w:rsidRPr="0063423E" w:rsidRDefault="0063423E" w:rsidP="0063423E">
      <w:pPr>
        <w:spacing w:after="0" w:line="240" w:lineRule="auto"/>
        <w:jc w:val="center"/>
        <w:rPr>
          <w:rFonts w:eastAsia="Times New Roman" w:cs="Times New Roman"/>
          <w:szCs w:val="24"/>
          <w:lang w:eastAsia="es-CO"/>
        </w:rPr>
      </w:pPr>
      <w:r w:rsidRPr="0063423E">
        <w:rPr>
          <w:rFonts w:ascii="Segoe UI" w:eastAsia="Times New Roman" w:hAnsi="Segoe UI" w:cs="Segoe UI"/>
          <w:b/>
          <w:color w:val="0000FF"/>
          <w:sz w:val="28"/>
          <w:lang w:eastAsia="es-CO"/>
        </w:rPr>
        <w:t>DIAN</w:t>
      </w:r>
    </w:p>
    <w:p w:rsidR="0063423E" w:rsidRPr="0063423E" w:rsidRDefault="0063423E" w:rsidP="0063423E">
      <w:pPr>
        <w:spacing w:after="0" w:line="240" w:lineRule="auto"/>
        <w:jc w:val="both"/>
        <w:rPr>
          <w:rFonts w:eastAsia="Times New Roman" w:cs="Times New Roman"/>
          <w:szCs w:val="24"/>
          <w:lang w:eastAsia="es-CO"/>
        </w:rPr>
      </w:pPr>
      <w:r w:rsidRPr="0063423E">
        <w:rPr>
          <w:rFonts w:ascii="Segoe UI" w:eastAsia="Times New Roman" w:hAnsi="Segoe UI" w:cs="Segoe UI"/>
          <w:b/>
          <w:color w:val="0000FF"/>
          <w:sz w:val="22"/>
          <w:lang w:eastAsia="es-CO"/>
        </w:rPr>
        <w:t> </w:t>
      </w:r>
    </w:p>
    <w:p w:rsidR="0063423E" w:rsidRPr="0063423E" w:rsidRDefault="0063423E" w:rsidP="0063423E">
      <w:pPr>
        <w:spacing w:after="0" w:line="240" w:lineRule="auto"/>
        <w:jc w:val="both"/>
        <w:rPr>
          <w:rFonts w:eastAsia="Times New Roman" w:cs="Times New Roman"/>
          <w:szCs w:val="24"/>
          <w:lang w:eastAsia="es-CO"/>
        </w:rPr>
      </w:pPr>
      <w:r w:rsidRPr="0063423E">
        <w:rPr>
          <w:rFonts w:ascii="Segoe UI" w:eastAsia="Times New Roman" w:hAnsi="Segoe UI" w:cs="Segoe UI"/>
          <w:b/>
          <w:color w:val="0000FF"/>
          <w:sz w:val="22"/>
          <w:lang w:eastAsia="es-CO"/>
        </w:rPr>
        <w:t> </w:t>
      </w:r>
    </w:p>
    <w:p w:rsidR="0063423E" w:rsidRPr="0063423E" w:rsidRDefault="0063423E" w:rsidP="0063423E">
      <w:pPr>
        <w:spacing w:after="0" w:line="240" w:lineRule="auto"/>
        <w:jc w:val="both"/>
        <w:rPr>
          <w:rFonts w:eastAsia="Times New Roman" w:cs="Times New Roman"/>
          <w:szCs w:val="24"/>
          <w:lang w:eastAsia="es-CO"/>
        </w:rPr>
      </w:pPr>
      <w:r w:rsidRPr="0063423E">
        <w:rPr>
          <w:rFonts w:ascii="Segoe UI" w:eastAsia="Times New Roman" w:hAnsi="Segoe UI" w:cs="Segoe UI"/>
          <w:sz w:val="22"/>
          <w:lang w:eastAsia="es-CO"/>
        </w:rPr>
        <w:t>Dirección de Gestión Jurídica</w:t>
      </w:r>
    </w:p>
    <w:p w:rsidR="0063423E" w:rsidRPr="0063423E" w:rsidRDefault="0063423E" w:rsidP="0063423E">
      <w:pPr>
        <w:spacing w:after="0" w:line="240" w:lineRule="auto"/>
        <w:jc w:val="both"/>
        <w:rPr>
          <w:rFonts w:eastAsia="Times New Roman" w:cs="Times New Roman"/>
          <w:szCs w:val="24"/>
          <w:lang w:eastAsia="es-CO"/>
        </w:rPr>
      </w:pPr>
      <w:r w:rsidRPr="0063423E">
        <w:rPr>
          <w:rFonts w:ascii="Segoe UI" w:eastAsia="Times New Roman" w:hAnsi="Segoe UI" w:cs="Segoe UI"/>
          <w:sz w:val="22"/>
          <w:lang w:eastAsia="es-CO"/>
        </w:rPr>
        <w:t>Bogotá, D. C.</w:t>
      </w:r>
    </w:p>
    <w:p w:rsidR="0063423E" w:rsidRPr="0063423E" w:rsidRDefault="0063423E" w:rsidP="0063423E">
      <w:pPr>
        <w:spacing w:after="0" w:line="240" w:lineRule="auto"/>
        <w:jc w:val="both"/>
        <w:rPr>
          <w:rFonts w:eastAsia="Times New Roman" w:cs="Times New Roman"/>
          <w:szCs w:val="24"/>
          <w:lang w:eastAsia="es-CO"/>
        </w:rPr>
      </w:pPr>
      <w:r w:rsidRPr="0063423E">
        <w:rPr>
          <w:rFonts w:ascii="Segoe UI" w:eastAsia="Times New Roman" w:hAnsi="Segoe UI" w:cs="Segoe UI"/>
          <w:sz w:val="22"/>
          <w:lang w:eastAsia="es-CO"/>
        </w:rPr>
        <w:t>100202208-0915</w:t>
      </w:r>
    </w:p>
    <w:p w:rsidR="0063423E" w:rsidRPr="0063423E" w:rsidRDefault="0063423E" w:rsidP="0063423E">
      <w:pPr>
        <w:spacing w:after="0" w:line="240" w:lineRule="auto"/>
        <w:jc w:val="both"/>
        <w:rPr>
          <w:rFonts w:eastAsia="Times New Roman" w:cs="Times New Roman"/>
          <w:szCs w:val="24"/>
          <w:lang w:eastAsia="es-CO"/>
        </w:rPr>
      </w:pPr>
      <w:r w:rsidRPr="0063423E">
        <w:rPr>
          <w:rFonts w:ascii="Segoe UI" w:eastAsia="Times New Roman" w:hAnsi="Segoe UI" w:cs="Segoe UI"/>
          <w:b/>
          <w:bCs/>
          <w:sz w:val="22"/>
          <w:lang w:eastAsia="es-CO"/>
        </w:rPr>
        <w:t> </w:t>
      </w:r>
    </w:p>
    <w:p w:rsidR="0063423E" w:rsidRPr="0063423E" w:rsidRDefault="0063423E" w:rsidP="0063423E">
      <w:pPr>
        <w:spacing w:after="0" w:line="240" w:lineRule="auto"/>
        <w:jc w:val="both"/>
        <w:rPr>
          <w:rFonts w:eastAsia="Times New Roman" w:cs="Times New Roman"/>
          <w:szCs w:val="24"/>
          <w:lang w:eastAsia="es-CO"/>
        </w:rPr>
      </w:pPr>
      <w:r w:rsidRPr="0063423E">
        <w:rPr>
          <w:rFonts w:ascii="Segoe UI" w:eastAsia="Times New Roman" w:hAnsi="Segoe UI" w:cs="Segoe UI"/>
          <w:b/>
          <w:bCs/>
          <w:sz w:val="22"/>
          <w:lang w:eastAsia="es-CO"/>
        </w:rPr>
        <w:t xml:space="preserve">Referencia: </w:t>
      </w:r>
      <w:r w:rsidRPr="0063423E">
        <w:rPr>
          <w:rFonts w:ascii="Segoe UI" w:eastAsia="Times New Roman" w:hAnsi="Segoe UI" w:cs="Segoe UI"/>
          <w:sz w:val="22"/>
          <w:lang w:eastAsia="es-CO"/>
        </w:rPr>
        <w:t>Radicado número 028269 del 14/07/2015</w:t>
      </w:r>
    </w:p>
    <w:p w:rsidR="0063423E" w:rsidRPr="0063423E" w:rsidRDefault="0063423E" w:rsidP="0063423E">
      <w:pPr>
        <w:spacing w:after="0" w:line="240" w:lineRule="auto"/>
        <w:jc w:val="both"/>
        <w:rPr>
          <w:rFonts w:eastAsia="Times New Roman" w:cs="Times New Roman"/>
          <w:szCs w:val="24"/>
          <w:lang w:eastAsia="es-CO"/>
        </w:rPr>
      </w:pPr>
      <w:r w:rsidRPr="0063423E">
        <w:rPr>
          <w:rFonts w:ascii="Segoe UI" w:eastAsia="Times New Roman" w:hAnsi="Segoe UI" w:cs="Segoe UI"/>
          <w:b/>
          <w:bCs/>
          <w:sz w:val="22"/>
          <w:lang w:eastAsia="es-CO"/>
        </w:rPr>
        <w:t> </w:t>
      </w:r>
    </w:p>
    <w:p w:rsidR="0063423E" w:rsidRPr="0063423E" w:rsidRDefault="0063423E" w:rsidP="0063423E">
      <w:pPr>
        <w:spacing w:after="0" w:line="240" w:lineRule="auto"/>
        <w:jc w:val="both"/>
        <w:rPr>
          <w:rFonts w:eastAsia="Times New Roman" w:cs="Times New Roman"/>
          <w:szCs w:val="24"/>
          <w:lang w:eastAsia="es-CO"/>
        </w:rPr>
      </w:pPr>
      <w:r w:rsidRPr="0063423E">
        <w:rPr>
          <w:rFonts w:ascii="Segoe UI" w:eastAsia="Times New Roman" w:hAnsi="Segoe UI" w:cs="Segoe UI"/>
          <w:b/>
          <w:bCs/>
          <w:sz w:val="22"/>
          <w:lang w:eastAsia="es-CO"/>
        </w:rPr>
        <w:t xml:space="preserve">Tema </w:t>
      </w:r>
      <w:r w:rsidRPr="0063423E">
        <w:rPr>
          <w:rFonts w:ascii="Segoe UI" w:eastAsia="Times New Roman" w:hAnsi="Segoe UI" w:cs="Segoe UI"/>
          <w:sz w:val="22"/>
          <w:lang w:eastAsia="es-CO"/>
        </w:rPr>
        <w:t>Procedimiento Tributario</w:t>
      </w:r>
    </w:p>
    <w:p w:rsidR="0063423E" w:rsidRPr="0063423E" w:rsidRDefault="0063423E" w:rsidP="0063423E">
      <w:pPr>
        <w:spacing w:after="0" w:line="240" w:lineRule="auto"/>
        <w:jc w:val="both"/>
        <w:rPr>
          <w:rFonts w:eastAsia="Times New Roman" w:cs="Times New Roman"/>
          <w:szCs w:val="24"/>
          <w:lang w:eastAsia="es-CO"/>
        </w:rPr>
      </w:pPr>
      <w:r w:rsidRPr="0063423E">
        <w:rPr>
          <w:rFonts w:ascii="Segoe UI" w:eastAsia="Times New Roman" w:hAnsi="Segoe UI" w:cs="Segoe UI"/>
          <w:b/>
          <w:bCs/>
          <w:sz w:val="22"/>
          <w:lang w:eastAsia="es-CO"/>
        </w:rPr>
        <w:t xml:space="preserve">Descriptores </w:t>
      </w:r>
      <w:r w:rsidRPr="0063423E">
        <w:rPr>
          <w:rFonts w:ascii="Segoe UI" w:eastAsia="Times New Roman" w:hAnsi="Segoe UI" w:cs="Segoe UI"/>
          <w:sz w:val="22"/>
          <w:lang w:eastAsia="es-CO"/>
        </w:rPr>
        <w:t>Condición Especial para el Pago de Impuestos, Tasas y Contribuciones</w:t>
      </w:r>
    </w:p>
    <w:p w:rsidR="0063423E" w:rsidRPr="0063423E" w:rsidRDefault="0063423E" w:rsidP="0063423E">
      <w:pPr>
        <w:spacing w:after="0" w:line="240" w:lineRule="auto"/>
        <w:jc w:val="both"/>
        <w:rPr>
          <w:rFonts w:eastAsia="Times New Roman" w:cs="Times New Roman"/>
          <w:szCs w:val="24"/>
          <w:lang w:eastAsia="es-CO"/>
        </w:rPr>
      </w:pPr>
      <w:r w:rsidRPr="0063423E">
        <w:rPr>
          <w:rFonts w:ascii="Segoe UI" w:eastAsia="Times New Roman" w:hAnsi="Segoe UI" w:cs="Segoe UI"/>
          <w:b/>
          <w:bCs/>
          <w:sz w:val="22"/>
          <w:lang w:eastAsia="es-CO"/>
        </w:rPr>
        <w:t xml:space="preserve">Fuentes formales </w:t>
      </w:r>
      <w:r w:rsidRPr="0063423E">
        <w:rPr>
          <w:rFonts w:ascii="Segoe UI" w:eastAsia="Times New Roman" w:hAnsi="Segoe UI" w:cs="Segoe UI"/>
          <w:sz w:val="22"/>
          <w:lang w:eastAsia="es-CO"/>
        </w:rPr>
        <w:t xml:space="preserve">Ley 1739 de 2014 artículo 57 parágrafo 3°. Estatuto Tributario </w:t>
      </w:r>
      <w:hyperlink r:id="rId4" w:tooltip="Estatuto Tributario CETA" w:history="1">
        <w:r w:rsidRPr="0063423E">
          <w:rPr>
            <w:rFonts w:ascii="Segoe UI" w:eastAsia="Times New Roman" w:hAnsi="Segoe UI" w:cs="Segoe UI"/>
            <w:color w:val="0000FF"/>
            <w:sz w:val="22"/>
            <w:u w:val="single"/>
            <w:lang w:eastAsia="es-CO"/>
          </w:rPr>
          <w:t>artículo 580-1</w:t>
        </w:r>
      </w:hyperlink>
    </w:p>
    <w:p w:rsidR="0063423E" w:rsidRPr="0063423E" w:rsidRDefault="0063423E" w:rsidP="0063423E">
      <w:pPr>
        <w:spacing w:after="0" w:line="240" w:lineRule="auto"/>
        <w:jc w:val="both"/>
        <w:rPr>
          <w:rFonts w:eastAsia="Times New Roman" w:cs="Times New Roman"/>
          <w:szCs w:val="24"/>
          <w:lang w:eastAsia="es-CO"/>
        </w:rPr>
      </w:pPr>
      <w:r w:rsidRPr="0063423E">
        <w:rPr>
          <w:rFonts w:ascii="Segoe UI" w:eastAsia="Times New Roman" w:hAnsi="Segoe UI" w:cs="Segoe UI"/>
          <w:sz w:val="22"/>
          <w:lang w:eastAsia="es-CO"/>
        </w:rPr>
        <w:t> </w:t>
      </w:r>
    </w:p>
    <w:p w:rsidR="0063423E" w:rsidRPr="0063423E" w:rsidRDefault="0063423E" w:rsidP="0063423E">
      <w:pPr>
        <w:spacing w:after="0" w:line="240" w:lineRule="auto"/>
        <w:jc w:val="both"/>
        <w:rPr>
          <w:rFonts w:eastAsia="Times New Roman" w:cs="Times New Roman"/>
          <w:szCs w:val="24"/>
          <w:lang w:eastAsia="es-CO"/>
        </w:rPr>
      </w:pPr>
      <w:r w:rsidRPr="0063423E">
        <w:rPr>
          <w:rFonts w:ascii="Segoe UI" w:eastAsia="Times New Roman" w:hAnsi="Segoe UI" w:cs="Segoe UI"/>
          <w:sz w:val="22"/>
          <w:lang w:eastAsia="es-CO"/>
        </w:rPr>
        <w:t> </w:t>
      </w:r>
    </w:p>
    <w:p w:rsidR="0063423E" w:rsidRPr="0063423E" w:rsidRDefault="0063423E" w:rsidP="0063423E">
      <w:pPr>
        <w:spacing w:after="0" w:line="240" w:lineRule="auto"/>
        <w:jc w:val="both"/>
        <w:rPr>
          <w:rFonts w:eastAsia="Times New Roman" w:cs="Times New Roman"/>
          <w:szCs w:val="24"/>
          <w:lang w:eastAsia="es-CO"/>
        </w:rPr>
      </w:pPr>
      <w:r w:rsidRPr="0063423E">
        <w:rPr>
          <w:rFonts w:ascii="Segoe UI" w:eastAsia="Times New Roman" w:hAnsi="Segoe UI" w:cs="Segoe UI"/>
          <w:sz w:val="22"/>
          <w:lang w:eastAsia="es-CO"/>
        </w:rPr>
        <w:t>De conformidad con el artículo 19 del Decreto 4048 de 2008, es función de esta Dirección absolver las consultas escritas que se formulen sobre interpretación y aplicación de las normas tributarias de carácter nacional, aduaneras y cambiarias en lo de competencia de esta Entidad.</w:t>
      </w:r>
    </w:p>
    <w:p w:rsidR="0063423E" w:rsidRPr="0063423E" w:rsidRDefault="0063423E" w:rsidP="0063423E">
      <w:pPr>
        <w:spacing w:after="0" w:line="240" w:lineRule="auto"/>
        <w:jc w:val="both"/>
        <w:rPr>
          <w:rFonts w:eastAsia="Times New Roman" w:cs="Times New Roman"/>
          <w:szCs w:val="24"/>
          <w:lang w:eastAsia="es-CO"/>
        </w:rPr>
      </w:pPr>
      <w:r w:rsidRPr="0063423E">
        <w:rPr>
          <w:rFonts w:ascii="Segoe UI" w:eastAsia="Times New Roman" w:hAnsi="Segoe UI" w:cs="Segoe UI"/>
          <w:sz w:val="22"/>
          <w:lang w:eastAsia="es-CO"/>
        </w:rPr>
        <w:t> </w:t>
      </w:r>
    </w:p>
    <w:p w:rsidR="0063423E" w:rsidRPr="0063423E" w:rsidRDefault="0063423E" w:rsidP="0063423E">
      <w:pPr>
        <w:spacing w:after="0" w:line="240" w:lineRule="auto"/>
        <w:jc w:val="both"/>
        <w:rPr>
          <w:rFonts w:eastAsia="Times New Roman" w:cs="Times New Roman"/>
          <w:szCs w:val="24"/>
          <w:lang w:eastAsia="es-CO"/>
        </w:rPr>
      </w:pPr>
      <w:r w:rsidRPr="0063423E">
        <w:rPr>
          <w:rFonts w:ascii="Segoe UI" w:eastAsia="Times New Roman" w:hAnsi="Segoe UI" w:cs="Segoe UI"/>
          <w:sz w:val="22"/>
          <w:lang w:eastAsia="es-CO"/>
        </w:rPr>
        <w:t xml:space="preserve">En el escrito de la referencia, solicita se reconsideren las tesis previstas en los Oficios 009168 de 26 de marzo y 015160 de 25 mayo de 2015 en los que se sostuvo: </w:t>
      </w:r>
      <w:r w:rsidRPr="0063423E">
        <w:rPr>
          <w:rFonts w:ascii="Segoe UI" w:eastAsia="Times New Roman" w:hAnsi="Segoe UI" w:cs="Segoe UI"/>
          <w:i/>
          <w:iCs/>
          <w:sz w:val="22"/>
          <w:lang w:eastAsia="es-CO"/>
        </w:rPr>
        <w:t>“Que se trate de períodos gravables anteriores al 1° de enero de 2015 y que sobre los mismos haya operado la ineficacia, en dicho sentido, las declaraciones de retención en la fuente que se debían presentar en enero de 2015, no son beneficiarias de dicha condición especial de pago, toda vez que a la fecha que exige la norma, no se había configurado dicho fenómeno jurídico, en los referidos períodos gravables”.</w:t>
      </w:r>
    </w:p>
    <w:p w:rsidR="0063423E" w:rsidRPr="0063423E" w:rsidRDefault="0063423E" w:rsidP="0063423E">
      <w:pPr>
        <w:spacing w:after="0" w:line="240" w:lineRule="auto"/>
        <w:jc w:val="both"/>
        <w:rPr>
          <w:rFonts w:eastAsia="Times New Roman" w:cs="Times New Roman"/>
          <w:szCs w:val="24"/>
          <w:lang w:eastAsia="es-CO"/>
        </w:rPr>
      </w:pPr>
      <w:r w:rsidRPr="0063423E">
        <w:rPr>
          <w:rFonts w:ascii="Segoe UI" w:eastAsia="Times New Roman" w:hAnsi="Segoe UI" w:cs="Segoe UI"/>
          <w:sz w:val="22"/>
          <w:lang w:eastAsia="es-CO"/>
        </w:rPr>
        <w:t> </w:t>
      </w:r>
    </w:p>
    <w:p w:rsidR="0063423E" w:rsidRPr="0063423E" w:rsidRDefault="0063423E" w:rsidP="0063423E">
      <w:pPr>
        <w:spacing w:after="0" w:line="240" w:lineRule="auto"/>
        <w:jc w:val="both"/>
        <w:rPr>
          <w:rFonts w:eastAsia="Times New Roman" w:cs="Times New Roman"/>
          <w:szCs w:val="24"/>
          <w:lang w:eastAsia="es-CO"/>
        </w:rPr>
      </w:pPr>
      <w:r w:rsidRPr="0063423E">
        <w:rPr>
          <w:rFonts w:ascii="Segoe UI" w:eastAsia="Times New Roman" w:hAnsi="Segoe UI" w:cs="Segoe UI"/>
          <w:sz w:val="22"/>
          <w:lang w:eastAsia="es-CO"/>
        </w:rPr>
        <w:t>Argumenta que el querer del legislador fue incluir todos los períodos gravables anteriores al 1 de enero de 2015, y que una interpretación en otro sentido limitaría el alcance determinado por el propio legislador.</w:t>
      </w:r>
    </w:p>
    <w:p w:rsidR="0063423E" w:rsidRPr="0063423E" w:rsidRDefault="0063423E" w:rsidP="0063423E">
      <w:pPr>
        <w:spacing w:after="0" w:line="240" w:lineRule="auto"/>
        <w:jc w:val="both"/>
        <w:rPr>
          <w:rFonts w:eastAsia="Times New Roman" w:cs="Times New Roman"/>
          <w:szCs w:val="24"/>
          <w:lang w:eastAsia="es-CO"/>
        </w:rPr>
      </w:pPr>
      <w:r w:rsidRPr="0063423E">
        <w:rPr>
          <w:rFonts w:ascii="Segoe UI" w:eastAsia="Times New Roman" w:hAnsi="Segoe UI" w:cs="Segoe UI"/>
          <w:sz w:val="22"/>
          <w:lang w:eastAsia="es-CO"/>
        </w:rPr>
        <w:t> </w:t>
      </w:r>
    </w:p>
    <w:p w:rsidR="0063423E" w:rsidRPr="0063423E" w:rsidRDefault="0063423E" w:rsidP="0063423E">
      <w:pPr>
        <w:spacing w:after="0" w:line="240" w:lineRule="auto"/>
        <w:jc w:val="both"/>
        <w:rPr>
          <w:rFonts w:eastAsia="Times New Roman" w:cs="Times New Roman"/>
          <w:szCs w:val="24"/>
          <w:lang w:eastAsia="es-CO"/>
        </w:rPr>
      </w:pPr>
      <w:r w:rsidRPr="0063423E">
        <w:rPr>
          <w:rFonts w:ascii="Segoe UI" w:eastAsia="Times New Roman" w:hAnsi="Segoe UI" w:cs="Segoe UI"/>
          <w:sz w:val="22"/>
          <w:lang w:eastAsia="es-CO"/>
        </w:rPr>
        <w:t>Al respecto este Despacho se permite hacer las siguientes consideraciones:</w:t>
      </w:r>
    </w:p>
    <w:p w:rsidR="0063423E" w:rsidRPr="0063423E" w:rsidRDefault="0063423E" w:rsidP="0063423E">
      <w:pPr>
        <w:spacing w:after="0" w:line="240" w:lineRule="auto"/>
        <w:jc w:val="both"/>
        <w:rPr>
          <w:rFonts w:eastAsia="Times New Roman" w:cs="Times New Roman"/>
          <w:szCs w:val="24"/>
          <w:lang w:eastAsia="es-CO"/>
        </w:rPr>
      </w:pPr>
      <w:r w:rsidRPr="0063423E">
        <w:rPr>
          <w:rFonts w:ascii="Segoe UI" w:eastAsia="Times New Roman" w:hAnsi="Segoe UI" w:cs="Segoe UI"/>
          <w:sz w:val="22"/>
          <w:lang w:eastAsia="es-CO"/>
        </w:rPr>
        <w:t> </w:t>
      </w:r>
    </w:p>
    <w:p w:rsidR="0063423E" w:rsidRPr="0063423E" w:rsidRDefault="0063423E" w:rsidP="0063423E">
      <w:pPr>
        <w:spacing w:after="0" w:line="240" w:lineRule="auto"/>
        <w:jc w:val="both"/>
        <w:rPr>
          <w:rFonts w:eastAsia="Times New Roman" w:cs="Times New Roman"/>
          <w:szCs w:val="24"/>
          <w:lang w:eastAsia="es-CO"/>
        </w:rPr>
      </w:pPr>
      <w:r w:rsidRPr="0063423E">
        <w:rPr>
          <w:rFonts w:ascii="Segoe UI" w:eastAsia="Times New Roman" w:hAnsi="Segoe UI" w:cs="Segoe UI"/>
          <w:sz w:val="22"/>
          <w:lang w:eastAsia="es-CO"/>
        </w:rPr>
        <w:t>El artículo 57 de la Ley 1739 de 2015 estableció en su parágrafo 3°, un beneficio para la presentación de declaraciones de retención en la fuente, al tenor literal dicha norma dispone:</w:t>
      </w:r>
    </w:p>
    <w:p w:rsidR="0063423E" w:rsidRPr="0063423E" w:rsidRDefault="0063423E" w:rsidP="0063423E">
      <w:pPr>
        <w:spacing w:after="0" w:line="240" w:lineRule="auto"/>
        <w:ind w:left="284"/>
        <w:jc w:val="both"/>
        <w:rPr>
          <w:rFonts w:eastAsia="Times New Roman" w:cs="Times New Roman"/>
          <w:szCs w:val="24"/>
          <w:lang w:eastAsia="es-CO"/>
        </w:rPr>
      </w:pPr>
      <w:r w:rsidRPr="0063423E">
        <w:rPr>
          <w:rFonts w:ascii="Segoe UI" w:eastAsia="Times New Roman" w:hAnsi="Segoe UI" w:cs="Segoe UI"/>
          <w:i/>
          <w:iCs/>
          <w:sz w:val="22"/>
          <w:lang w:eastAsia="es-CO"/>
        </w:rPr>
        <w:t> </w:t>
      </w:r>
    </w:p>
    <w:p w:rsidR="0063423E" w:rsidRPr="0063423E" w:rsidRDefault="0063423E" w:rsidP="0063423E">
      <w:pPr>
        <w:spacing w:after="0" w:line="240" w:lineRule="auto"/>
        <w:ind w:left="284"/>
        <w:jc w:val="both"/>
        <w:rPr>
          <w:rFonts w:eastAsia="Times New Roman" w:cs="Times New Roman"/>
          <w:szCs w:val="24"/>
          <w:lang w:eastAsia="es-CO"/>
        </w:rPr>
      </w:pPr>
      <w:r w:rsidRPr="0063423E">
        <w:rPr>
          <w:rFonts w:ascii="Segoe UI" w:eastAsia="Times New Roman" w:hAnsi="Segoe UI" w:cs="Segoe UI"/>
          <w:i/>
          <w:iCs/>
          <w:sz w:val="22"/>
          <w:lang w:eastAsia="es-CO"/>
        </w:rPr>
        <w:t>“</w:t>
      </w:r>
      <w:r w:rsidRPr="0063423E">
        <w:rPr>
          <w:rFonts w:ascii="Segoe UI" w:eastAsia="Times New Roman" w:hAnsi="Segoe UI" w:cs="Segoe UI"/>
          <w:b/>
          <w:bCs/>
          <w:i/>
          <w:iCs/>
          <w:sz w:val="22"/>
          <w:lang w:eastAsia="es-CO"/>
        </w:rPr>
        <w:t xml:space="preserve">Parágrafo 3°. </w:t>
      </w:r>
      <w:r w:rsidRPr="0063423E">
        <w:rPr>
          <w:rFonts w:ascii="Segoe UI" w:eastAsia="Times New Roman" w:hAnsi="Segoe UI" w:cs="Segoe UI"/>
          <w:i/>
          <w:iCs/>
          <w:sz w:val="22"/>
          <w:lang w:eastAsia="es-CO"/>
        </w:rPr>
        <w:t xml:space="preserve">Este beneficio también es aplicable a los agentes de retención que hasta el 30 de octubre de 2015, presenten </w:t>
      </w:r>
      <w:r w:rsidRPr="0063423E">
        <w:rPr>
          <w:rFonts w:ascii="Segoe UI" w:eastAsia="Times New Roman" w:hAnsi="Segoe UI" w:cs="Segoe UI"/>
          <w:b/>
          <w:bCs/>
          <w:i/>
          <w:iCs/>
          <w:sz w:val="22"/>
          <w:lang w:eastAsia="es-CO"/>
        </w:rPr>
        <w:t xml:space="preserve">declaraciones de retención en la fuente </w:t>
      </w:r>
      <w:r w:rsidRPr="0063423E">
        <w:rPr>
          <w:rFonts w:ascii="Segoe UI" w:eastAsia="Times New Roman" w:hAnsi="Segoe UI" w:cs="Segoe UI"/>
          <w:i/>
          <w:iCs/>
          <w:sz w:val="22"/>
          <w:lang w:eastAsia="es-CO"/>
        </w:rPr>
        <w:t xml:space="preserve">en relación con períodos gravables anteriores al 1º. </w:t>
      </w:r>
      <w:proofErr w:type="gramStart"/>
      <w:r w:rsidRPr="0063423E">
        <w:rPr>
          <w:rFonts w:ascii="Segoe UI" w:eastAsia="Times New Roman" w:hAnsi="Segoe UI" w:cs="Segoe UI"/>
          <w:i/>
          <w:iCs/>
          <w:sz w:val="22"/>
          <w:lang w:eastAsia="es-CO"/>
        </w:rPr>
        <w:t>de</w:t>
      </w:r>
      <w:proofErr w:type="gramEnd"/>
      <w:r w:rsidRPr="0063423E">
        <w:rPr>
          <w:rFonts w:ascii="Segoe UI" w:eastAsia="Times New Roman" w:hAnsi="Segoe UI" w:cs="Segoe UI"/>
          <w:i/>
          <w:iCs/>
          <w:sz w:val="22"/>
          <w:lang w:eastAsia="es-CO"/>
        </w:rPr>
        <w:t xml:space="preserve"> enero de 2015, </w:t>
      </w:r>
      <w:r w:rsidRPr="0063423E">
        <w:rPr>
          <w:rFonts w:ascii="Segoe UI" w:eastAsia="Times New Roman" w:hAnsi="Segoe UI" w:cs="Segoe UI"/>
          <w:b/>
          <w:bCs/>
          <w:i/>
          <w:iCs/>
          <w:sz w:val="22"/>
          <w:lang w:eastAsia="es-CO"/>
        </w:rPr>
        <w:t xml:space="preserve">sobre los cuales se haya configurado la ineficiencia consagrada en el </w:t>
      </w:r>
      <w:hyperlink r:id="rId5" w:tooltip="Estatuto Tributario CETA" w:history="1">
        <w:r w:rsidRPr="0063423E">
          <w:rPr>
            <w:rFonts w:ascii="Segoe UI" w:eastAsia="Times New Roman" w:hAnsi="Segoe UI" w:cs="Segoe UI"/>
            <w:b/>
            <w:bCs/>
            <w:i/>
            <w:iCs/>
            <w:color w:val="0000FF"/>
            <w:sz w:val="22"/>
            <w:u w:val="single"/>
            <w:lang w:eastAsia="es-CO"/>
          </w:rPr>
          <w:t>artículo 580-1</w:t>
        </w:r>
      </w:hyperlink>
      <w:r w:rsidRPr="0063423E">
        <w:rPr>
          <w:rFonts w:ascii="Segoe UI" w:eastAsia="Times New Roman" w:hAnsi="Segoe UI" w:cs="Segoe UI"/>
          <w:b/>
          <w:bCs/>
          <w:i/>
          <w:iCs/>
          <w:sz w:val="22"/>
          <w:lang w:eastAsia="es-CO"/>
        </w:rPr>
        <w:t xml:space="preserve"> del Estatuto Tributario</w:t>
      </w:r>
      <w:r w:rsidRPr="0063423E">
        <w:rPr>
          <w:rFonts w:ascii="Segoe UI" w:eastAsia="Times New Roman" w:hAnsi="Segoe UI" w:cs="Segoe UI"/>
          <w:i/>
          <w:iCs/>
          <w:sz w:val="22"/>
          <w:lang w:eastAsia="es-CO"/>
        </w:rPr>
        <w:t xml:space="preserve">, quienes no estarán obligados a liquidar y pagar la sanción por extemporaneidad ni los intereses de mora”. </w:t>
      </w:r>
      <w:r w:rsidRPr="0063423E">
        <w:rPr>
          <w:rFonts w:ascii="Segoe UI" w:eastAsia="Times New Roman" w:hAnsi="Segoe UI" w:cs="Segoe UI"/>
          <w:iCs/>
          <w:sz w:val="22"/>
          <w:lang w:eastAsia="es-CO"/>
        </w:rPr>
        <w:t>(</w:t>
      </w:r>
      <w:r w:rsidRPr="0063423E">
        <w:rPr>
          <w:rFonts w:ascii="Segoe UI" w:eastAsia="Times New Roman" w:hAnsi="Segoe UI" w:cs="Segoe UI"/>
          <w:sz w:val="22"/>
          <w:lang w:eastAsia="es-CO"/>
        </w:rPr>
        <w:t>Las negritas son nuestras)</w:t>
      </w:r>
      <w:r w:rsidRPr="0063423E">
        <w:rPr>
          <w:rFonts w:ascii="Segoe UI" w:eastAsia="Times New Roman" w:hAnsi="Segoe UI" w:cs="Segoe UI"/>
          <w:iCs/>
          <w:sz w:val="22"/>
          <w:lang w:eastAsia="es-CO"/>
        </w:rPr>
        <w:t>.</w:t>
      </w:r>
    </w:p>
    <w:p w:rsidR="0063423E" w:rsidRPr="0063423E" w:rsidRDefault="0063423E" w:rsidP="0063423E">
      <w:pPr>
        <w:spacing w:after="0" w:line="240" w:lineRule="auto"/>
        <w:jc w:val="both"/>
        <w:rPr>
          <w:rFonts w:eastAsia="Times New Roman" w:cs="Times New Roman"/>
          <w:szCs w:val="24"/>
          <w:lang w:eastAsia="es-CO"/>
        </w:rPr>
      </w:pPr>
      <w:r w:rsidRPr="0063423E">
        <w:rPr>
          <w:rFonts w:ascii="Segoe UI" w:eastAsia="Times New Roman" w:hAnsi="Segoe UI" w:cs="Segoe UI"/>
          <w:sz w:val="22"/>
          <w:lang w:eastAsia="es-CO"/>
        </w:rPr>
        <w:t> </w:t>
      </w:r>
    </w:p>
    <w:p w:rsidR="0063423E" w:rsidRPr="0063423E" w:rsidRDefault="0063423E" w:rsidP="0063423E">
      <w:pPr>
        <w:spacing w:after="0" w:line="240" w:lineRule="auto"/>
        <w:jc w:val="both"/>
        <w:rPr>
          <w:rFonts w:eastAsia="Times New Roman" w:cs="Times New Roman"/>
          <w:szCs w:val="24"/>
          <w:lang w:eastAsia="es-CO"/>
        </w:rPr>
      </w:pPr>
      <w:r w:rsidRPr="0063423E">
        <w:rPr>
          <w:rFonts w:ascii="Segoe UI" w:eastAsia="Times New Roman" w:hAnsi="Segoe UI" w:cs="Segoe UI"/>
          <w:sz w:val="22"/>
          <w:lang w:eastAsia="es-CO"/>
        </w:rPr>
        <w:t xml:space="preserve">De la lectura de la norma se establecen una serie de requisitos, para que dicho beneficio opere, entre otros, que se trate de períodos gravables anteriores a 1° de enero de 2015, sobre los que necesariamente haya operado la ineficacia que se encuentra regulada por el </w:t>
      </w:r>
      <w:hyperlink r:id="rId6" w:tooltip="Estatuto Tributario CETA" w:history="1">
        <w:r w:rsidRPr="0063423E">
          <w:rPr>
            <w:rFonts w:ascii="Segoe UI" w:eastAsia="Times New Roman" w:hAnsi="Segoe UI" w:cs="Segoe UI"/>
            <w:color w:val="0000FF"/>
            <w:sz w:val="22"/>
            <w:u w:val="single"/>
            <w:lang w:eastAsia="es-CO"/>
          </w:rPr>
          <w:t>artículo 580-1</w:t>
        </w:r>
      </w:hyperlink>
      <w:r w:rsidRPr="0063423E">
        <w:rPr>
          <w:rFonts w:ascii="Segoe UI" w:eastAsia="Times New Roman" w:hAnsi="Segoe UI" w:cs="Segoe UI"/>
          <w:sz w:val="22"/>
          <w:lang w:eastAsia="es-CO"/>
        </w:rPr>
        <w:t xml:space="preserve"> del Estatuto Tributario.</w:t>
      </w:r>
    </w:p>
    <w:p w:rsidR="0063423E" w:rsidRPr="0063423E" w:rsidRDefault="0063423E" w:rsidP="0063423E">
      <w:pPr>
        <w:spacing w:after="0" w:line="240" w:lineRule="auto"/>
        <w:jc w:val="both"/>
        <w:rPr>
          <w:rFonts w:eastAsia="Times New Roman" w:cs="Times New Roman"/>
          <w:szCs w:val="24"/>
          <w:lang w:eastAsia="es-CO"/>
        </w:rPr>
      </w:pPr>
      <w:r w:rsidRPr="0063423E">
        <w:rPr>
          <w:rFonts w:ascii="Segoe UI" w:eastAsia="Times New Roman" w:hAnsi="Segoe UI" w:cs="Segoe UI"/>
          <w:sz w:val="22"/>
          <w:lang w:eastAsia="es-CO"/>
        </w:rPr>
        <w:t> </w:t>
      </w:r>
    </w:p>
    <w:p w:rsidR="0063423E" w:rsidRPr="0063423E" w:rsidRDefault="0063423E" w:rsidP="0063423E">
      <w:pPr>
        <w:spacing w:after="0" w:line="240" w:lineRule="auto"/>
        <w:jc w:val="both"/>
        <w:rPr>
          <w:rFonts w:eastAsia="Times New Roman" w:cs="Times New Roman"/>
          <w:szCs w:val="24"/>
          <w:lang w:eastAsia="es-CO"/>
        </w:rPr>
      </w:pPr>
      <w:r w:rsidRPr="0063423E">
        <w:rPr>
          <w:rFonts w:ascii="Segoe UI" w:eastAsia="Times New Roman" w:hAnsi="Segoe UI" w:cs="Segoe UI"/>
          <w:sz w:val="22"/>
          <w:lang w:eastAsia="es-CO"/>
        </w:rPr>
        <w:lastRenderedPageBreak/>
        <w:t xml:space="preserve">En dicho sentido, el </w:t>
      </w:r>
      <w:hyperlink r:id="rId7" w:tooltip="Estatuto Tributario CETA" w:history="1">
        <w:r w:rsidRPr="0063423E">
          <w:rPr>
            <w:rFonts w:ascii="Segoe UI" w:eastAsia="Times New Roman" w:hAnsi="Segoe UI" w:cs="Segoe UI"/>
            <w:color w:val="0000FF"/>
            <w:sz w:val="22"/>
            <w:u w:val="single"/>
            <w:lang w:eastAsia="es-CO"/>
          </w:rPr>
          <w:t>artículo 580-1</w:t>
        </w:r>
      </w:hyperlink>
      <w:r w:rsidRPr="0063423E">
        <w:rPr>
          <w:rFonts w:ascii="Segoe UI" w:eastAsia="Times New Roman" w:hAnsi="Segoe UI" w:cs="Segoe UI"/>
          <w:sz w:val="22"/>
          <w:lang w:eastAsia="es-CO"/>
        </w:rPr>
        <w:t xml:space="preserve"> del E.T., establece:</w:t>
      </w:r>
    </w:p>
    <w:p w:rsidR="0063423E" w:rsidRPr="0063423E" w:rsidRDefault="0063423E" w:rsidP="0063423E">
      <w:pPr>
        <w:spacing w:after="0" w:line="240" w:lineRule="auto"/>
        <w:ind w:left="284"/>
        <w:jc w:val="both"/>
        <w:rPr>
          <w:rFonts w:eastAsia="Times New Roman" w:cs="Times New Roman"/>
          <w:szCs w:val="24"/>
          <w:lang w:eastAsia="es-CO"/>
        </w:rPr>
      </w:pPr>
      <w:r w:rsidRPr="0063423E">
        <w:rPr>
          <w:rFonts w:ascii="Segoe UI" w:eastAsia="Times New Roman" w:hAnsi="Segoe UI" w:cs="Segoe UI"/>
          <w:i/>
          <w:iCs/>
          <w:sz w:val="22"/>
          <w:lang w:eastAsia="es-CO"/>
        </w:rPr>
        <w:t> </w:t>
      </w:r>
    </w:p>
    <w:p w:rsidR="0063423E" w:rsidRPr="0063423E" w:rsidRDefault="0063423E" w:rsidP="0063423E">
      <w:pPr>
        <w:spacing w:after="0" w:line="240" w:lineRule="auto"/>
        <w:ind w:left="284"/>
        <w:jc w:val="both"/>
        <w:rPr>
          <w:rFonts w:eastAsia="Times New Roman" w:cs="Times New Roman"/>
          <w:szCs w:val="24"/>
          <w:lang w:eastAsia="es-CO"/>
        </w:rPr>
      </w:pPr>
      <w:r w:rsidRPr="0063423E">
        <w:rPr>
          <w:rFonts w:ascii="Segoe UI" w:eastAsia="Times New Roman" w:hAnsi="Segoe UI" w:cs="Segoe UI"/>
          <w:b/>
          <w:i/>
          <w:iCs/>
          <w:sz w:val="22"/>
          <w:lang w:eastAsia="es-CO"/>
        </w:rPr>
        <w:t>“</w:t>
      </w:r>
      <w:hyperlink r:id="rId8" w:tooltip="Estatuto Tributario CETA" w:history="1">
        <w:r w:rsidRPr="0063423E">
          <w:rPr>
            <w:rFonts w:ascii="Segoe UI" w:eastAsia="Times New Roman" w:hAnsi="Segoe UI" w:cs="Segoe UI"/>
            <w:b/>
            <w:bCs/>
            <w:i/>
            <w:iCs/>
            <w:color w:val="0000FF"/>
            <w:sz w:val="22"/>
            <w:u w:val="single"/>
            <w:lang w:eastAsia="es-CO"/>
          </w:rPr>
          <w:t>Artículo 580-1</w:t>
        </w:r>
      </w:hyperlink>
      <w:r w:rsidRPr="0063423E">
        <w:rPr>
          <w:rFonts w:ascii="Segoe UI" w:eastAsia="Times New Roman" w:hAnsi="Segoe UI" w:cs="Segoe UI"/>
          <w:b/>
          <w:bCs/>
          <w:i/>
          <w:iCs/>
          <w:sz w:val="22"/>
          <w:lang w:eastAsia="es-CO"/>
        </w:rPr>
        <w:t>. Ineficacia de las declaraciones de retención en la fuente presentadas sin pago total</w:t>
      </w:r>
      <w:r w:rsidRPr="0063423E">
        <w:rPr>
          <w:rFonts w:ascii="Segoe UI" w:eastAsia="Times New Roman" w:hAnsi="Segoe UI" w:cs="Segoe UI"/>
          <w:b/>
          <w:i/>
          <w:iCs/>
          <w:sz w:val="22"/>
          <w:lang w:eastAsia="es-CO"/>
        </w:rPr>
        <w:t xml:space="preserve">. </w:t>
      </w:r>
      <w:r w:rsidRPr="0063423E">
        <w:rPr>
          <w:rFonts w:ascii="Segoe UI" w:eastAsia="Times New Roman" w:hAnsi="Segoe UI" w:cs="Segoe UI"/>
          <w:b/>
          <w:bCs/>
          <w:i/>
          <w:iCs/>
          <w:sz w:val="22"/>
          <w:lang w:eastAsia="es-CO"/>
        </w:rPr>
        <w:t>Las declaraciones de retención en la fuente presentadas sin pago total no producirán efecto legal alguno</w:t>
      </w:r>
      <w:r w:rsidRPr="0063423E">
        <w:rPr>
          <w:rFonts w:ascii="Segoe UI" w:eastAsia="Times New Roman" w:hAnsi="Segoe UI" w:cs="Segoe UI"/>
          <w:b/>
          <w:i/>
          <w:iCs/>
          <w:sz w:val="22"/>
          <w:lang w:eastAsia="es-CO"/>
        </w:rPr>
        <w:t>,</w:t>
      </w:r>
      <w:r w:rsidRPr="0063423E">
        <w:rPr>
          <w:rFonts w:ascii="Segoe UI" w:eastAsia="Times New Roman" w:hAnsi="Segoe UI" w:cs="Segoe UI"/>
          <w:i/>
          <w:iCs/>
          <w:sz w:val="22"/>
          <w:lang w:eastAsia="es-CO"/>
        </w:rPr>
        <w:t xml:space="preserve"> sin necesidad de acto administrativo que así lo declare. [...]” </w:t>
      </w:r>
      <w:r w:rsidRPr="0063423E">
        <w:rPr>
          <w:rFonts w:ascii="Segoe UI" w:eastAsia="Times New Roman" w:hAnsi="Segoe UI" w:cs="Segoe UI"/>
          <w:sz w:val="22"/>
          <w:lang w:eastAsia="es-CO"/>
        </w:rPr>
        <w:t>(Las negritas son nuestras)</w:t>
      </w:r>
    </w:p>
    <w:p w:rsidR="0063423E" w:rsidRPr="0063423E" w:rsidRDefault="0063423E" w:rsidP="0063423E">
      <w:pPr>
        <w:spacing w:after="0" w:line="240" w:lineRule="auto"/>
        <w:jc w:val="both"/>
        <w:rPr>
          <w:rFonts w:eastAsia="Times New Roman" w:cs="Times New Roman"/>
          <w:szCs w:val="24"/>
          <w:lang w:eastAsia="es-CO"/>
        </w:rPr>
      </w:pPr>
      <w:r w:rsidRPr="0063423E">
        <w:rPr>
          <w:rFonts w:ascii="Segoe UI" w:eastAsia="Times New Roman" w:hAnsi="Segoe UI" w:cs="Segoe UI"/>
          <w:sz w:val="22"/>
          <w:lang w:eastAsia="es-CO"/>
        </w:rPr>
        <w:t> </w:t>
      </w:r>
    </w:p>
    <w:p w:rsidR="0063423E" w:rsidRPr="0063423E" w:rsidRDefault="0063423E" w:rsidP="0063423E">
      <w:pPr>
        <w:spacing w:after="0" w:line="240" w:lineRule="auto"/>
        <w:jc w:val="both"/>
        <w:rPr>
          <w:rFonts w:eastAsia="Times New Roman" w:cs="Times New Roman"/>
          <w:szCs w:val="24"/>
          <w:lang w:eastAsia="es-CO"/>
        </w:rPr>
      </w:pPr>
      <w:r w:rsidRPr="0063423E">
        <w:rPr>
          <w:rFonts w:ascii="Segoe UI" w:eastAsia="Times New Roman" w:hAnsi="Segoe UI" w:cs="Segoe UI"/>
          <w:sz w:val="22"/>
          <w:lang w:eastAsia="es-CO"/>
        </w:rPr>
        <w:t>Motivo por el cual, para que opere dicha ineficacia, la declaración de retención en la fuente debe ser indefectiblemente presentada sin pago total.</w:t>
      </w:r>
    </w:p>
    <w:p w:rsidR="0063423E" w:rsidRPr="0063423E" w:rsidRDefault="0063423E" w:rsidP="0063423E">
      <w:pPr>
        <w:spacing w:after="0" w:line="240" w:lineRule="auto"/>
        <w:jc w:val="both"/>
        <w:rPr>
          <w:rFonts w:eastAsia="Times New Roman" w:cs="Times New Roman"/>
          <w:szCs w:val="24"/>
          <w:lang w:eastAsia="es-CO"/>
        </w:rPr>
      </w:pPr>
      <w:r w:rsidRPr="0063423E">
        <w:rPr>
          <w:rFonts w:ascii="Segoe UI" w:eastAsia="Times New Roman" w:hAnsi="Segoe UI" w:cs="Segoe UI"/>
          <w:sz w:val="22"/>
          <w:lang w:eastAsia="es-CO"/>
        </w:rPr>
        <w:t> </w:t>
      </w:r>
    </w:p>
    <w:p w:rsidR="0063423E" w:rsidRPr="0063423E" w:rsidRDefault="0063423E" w:rsidP="0063423E">
      <w:pPr>
        <w:spacing w:after="0" w:line="240" w:lineRule="auto"/>
        <w:jc w:val="both"/>
        <w:rPr>
          <w:rFonts w:eastAsia="Times New Roman" w:cs="Times New Roman"/>
          <w:szCs w:val="24"/>
          <w:lang w:eastAsia="es-CO"/>
        </w:rPr>
      </w:pPr>
      <w:r w:rsidRPr="0063423E">
        <w:rPr>
          <w:rFonts w:ascii="Segoe UI" w:eastAsia="Times New Roman" w:hAnsi="Segoe UI" w:cs="Segoe UI"/>
          <w:sz w:val="22"/>
          <w:lang w:eastAsia="es-CO"/>
        </w:rPr>
        <w:t>Por consiguiente, para que opere el beneficio consagrado en el parágrafo 3° del artículo 57 la Ley 1739 de 2015, se deben reunir los requisitos que exige la norma: i) que se trate de declaraciones en relación con períodos gravables anteriores a 1° de enero de 2015, ii) que sobre dichas declaraciones haya operado el fenómeno de la ineficacia y iii) que se presente y pague la declaración de retención en la fuente hasta el 30 de octubre de 2015.</w:t>
      </w:r>
    </w:p>
    <w:p w:rsidR="0063423E" w:rsidRPr="0063423E" w:rsidRDefault="0063423E" w:rsidP="0063423E">
      <w:pPr>
        <w:spacing w:after="0" w:line="240" w:lineRule="auto"/>
        <w:jc w:val="both"/>
        <w:rPr>
          <w:rFonts w:eastAsia="Times New Roman" w:cs="Times New Roman"/>
          <w:szCs w:val="24"/>
          <w:lang w:eastAsia="es-CO"/>
        </w:rPr>
      </w:pPr>
      <w:r w:rsidRPr="0063423E">
        <w:rPr>
          <w:rFonts w:ascii="Segoe UI" w:eastAsia="Times New Roman" w:hAnsi="Segoe UI" w:cs="Segoe UI"/>
          <w:sz w:val="22"/>
          <w:lang w:eastAsia="es-CO"/>
        </w:rPr>
        <w:t> </w:t>
      </w:r>
    </w:p>
    <w:p w:rsidR="0063423E" w:rsidRPr="0063423E" w:rsidRDefault="0063423E" w:rsidP="0063423E">
      <w:pPr>
        <w:spacing w:after="0" w:line="240" w:lineRule="auto"/>
        <w:jc w:val="both"/>
        <w:rPr>
          <w:rFonts w:eastAsia="Times New Roman" w:cs="Times New Roman"/>
          <w:szCs w:val="24"/>
          <w:lang w:eastAsia="es-CO"/>
        </w:rPr>
      </w:pPr>
      <w:r w:rsidRPr="0063423E">
        <w:rPr>
          <w:rFonts w:ascii="Segoe UI" w:eastAsia="Times New Roman" w:hAnsi="Segoe UI" w:cs="Segoe UI"/>
          <w:sz w:val="22"/>
          <w:lang w:eastAsia="es-CO"/>
        </w:rPr>
        <w:t>Por su parte, atendiendo a la naturaleza de la “Condición Especial de Pago”, que se encuentra consagrada en el ya referido artículo 57 de la Ley 1739 de 2014, se refiere a situaciones ya consolidadas, y no frente a posibles eventos que se pueden llegar a configurar.</w:t>
      </w:r>
    </w:p>
    <w:p w:rsidR="0063423E" w:rsidRPr="0063423E" w:rsidRDefault="0063423E" w:rsidP="0063423E">
      <w:pPr>
        <w:spacing w:after="0" w:line="240" w:lineRule="auto"/>
        <w:jc w:val="both"/>
        <w:rPr>
          <w:rFonts w:eastAsia="Times New Roman" w:cs="Times New Roman"/>
          <w:szCs w:val="24"/>
          <w:lang w:eastAsia="es-CO"/>
        </w:rPr>
      </w:pPr>
      <w:r w:rsidRPr="0063423E">
        <w:rPr>
          <w:rFonts w:ascii="Segoe UI" w:eastAsia="Times New Roman" w:hAnsi="Segoe UI" w:cs="Segoe UI"/>
          <w:sz w:val="22"/>
          <w:lang w:eastAsia="es-CO"/>
        </w:rPr>
        <w:t> </w:t>
      </w:r>
    </w:p>
    <w:p w:rsidR="0063423E" w:rsidRPr="0063423E" w:rsidRDefault="0063423E" w:rsidP="0063423E">
      <w:pPr>
        <w:spacing w:after="0" w:line="240" w:lineRule="auto"/>
        <w:jc w:val="both"/>
        <w:rPr>
          <w:rFonts w:eastAsia="Times New Roman" w:cs="Times New Roman"/>
          <w:szCs w:val="24"/>
          <w:lang w:eastAsia="es-CO"/>
        </w:rPr>
      </w:pPr>
      <w:r w:rsidRPr="0063423E">
        <w:rPr>
          <w:rFonts w:ascii="Segoe UI" w:eastAsia="Times New Roman" w:hAnsi="Segoe UI" w:cs="Segoe UI"/>
          <w:sz w:val="22"/>
          <w:lang w:eastAsia="es-CO"/>
        </w:rPr>
        <w:t>En conclusión, las declaraciones de retención en la fuente que se presentan en enero de 2015, no pueden optar por dicho beneficio, toda vez que a la fecha que exige la norma, no se había configurado la ineficacia, en los referidos períodos gravables.</w:t>
      </w:r>
    </w:p>
    <w:p w:rsidR="0063423E" w:rsidRPr="0063423E" w:rsidRDefault="0063423E" w:rsidP="0063423E">
      <w:pPr>
        <w:spacing w:after="0" w:line="240" w:lineRule="auto"/>
        <w:jc w:val="both"/>
        <w:rPr>
          <w:rFonts w:eastAsia="Times New Roman" w:cs="Times New Roman"/>
          <w:szCs w:val="24"/>
          <w:lang w:eastAsia="es-CO"/>
        </w:rPr>
      </w:pPr>
      <w:r w:rsidRPr="0063423E">
        <w:rPr>
          <w:rFonts w:ascii="Segoe UI" w:eastAsia="Times New Roman" w:hAnsi="Segoe UI" w:cs="Segoe UI"/>
          <w:sz w:val="22"/>
          <w:lang w:eastAsia="es-CO"/>
        </w:rPr>
        <w:t> </w:t>
      </w:r>
    </w:p>
    <w:p w:rsidR="0063423E" w:rsidRPr="0063423E" w:rsidRDefault="0063423E" w:rsidP="0063423E">
      <w:pPr>
        <w:spacing w:after="0" w:line="240" w:lineRule="auto"/>
        <w:jc w:val="both"/>
        <w:rPr>
          <w:rFonts w:eastAsia="Times New Roman" w:cs="Times New Roman"/>
          <w:szCs w:val="24"/>
          <w:lang w:eastAsia="es-CO"/>
        </w:rPr>
      </w:pPr>
      <w:r w:rsidRPr="0063423E">
        <w:rPr>
          <w:rFonts w:ascii="Segoe UI" w:eastAsia="Times New Roman" w:hAnsi="Segoe UI" w:cs="Segoe UI"/>
          <w:sz w:val="22"/>
          <w:lang w:eastAsia="es-CO"/>
        </w:rPr>
        <w:t>En razón de lo anterior, no se reconsideran las tesis expuestas en los Oficios 009168 y 015160 de 2015.</w:t>
      </w:r>
    </w:p>
    <w:p w:rsidR="0063423E" w:rsidRPr="0063423E" w:rsidRDefault="0063423E" w:rsidP="0063423E">
      <w:pPr>
        <w:spacing w:after="0" w:line="240" w:lineRule="auto"/>
        <w:jc w:val="both"/>
        <w:rPr>
          <w:rFonts w:eastAsia="Times New Roman" w:cs="Times New Roman"/>
          <w:szCs w:val="24"/>
          <w:lang w:eastAsia="es-CO"/>
        </w:rPr>
      </w:pPr>
      <w:r w:rsidRPr="0063423E">
        <w:rPr>
          <w:rFonts w:ascii="Segoe UI" w:eastAsia="Times New Roman" w:hAnsi="Segoe UI" w:cs="Segoe UI"/>
          <w:sz w:val="22"/>
          <w:lang w:eastAsia="es-CO"/>
        </w:rPr>
        <w:t> </w:t>
      </w:r>
    </w:p>
    <w:p w:rsidR="0063423E" w:rsidRPr="0063423E" w:rsidRDefault="0063423E" w:rsidP="0063423E">
      <w:pPr>
        <w:spacing w:after="0" w:line="240" w:lineRule="auto"/>
        <w:jc w:val="both"/>
        <w:rPr>
          <w:rFonts w:eastAsia="Times New Roman" w:cs="Times New Roman"/>
          <w:szCs w:val="24"/>
          <w:lang w:eastAsia="es-CO"/>
        </w:rPr>
      </w:pPr>
      <w:r w:rsidRPr="0063423E">
        <w:rPr>
          <w:rFonts w:ascii="Segoe UI" w:eastAsia="Times New Roman" w:hAnsi="Segoe UI" w:cs="Segoe UI"/>
          <w:sz w:val="22"/>
          <w:lang w:eastAsia="es-CO"/>
        </w:rPr>
        <w:t> </w:t>
      </w:r>
    </w:p>
    <w:p w:rsidR="0063423E" w:rsidRPr="0063423E" w:rsidRDefault="0063423E" w:rsidP="0063423E">
      <w:pPr>
        <w:spacing w:after="0" w:line="240" w:lineRule="auto"/>
        <w:jc w:val="both"/>
        <w:rPr>
          <w:rFonts w:eastAsia="Times New Roman" w:cs="Times New Roman"/>
          <w:szCs w:val="24"/>
          <w:lang w:eastAsia="es-CO"/>
        </w:rPr>
      </w:pPr>
      <w:r w:rsidRPr="0063423E">
        <w:rPr>
          <w:rFonts w:ascii="Segoe UI" w:eastAsia="Times New Roman" w:hAnsi="Segoe UI" w:cs="Segoe UI"/>
          <w:sz w:val="22"/>
          <w:lang w:eastAsia="es-CO"/>
        </w:rPr>
        <w:t>Atentamente,</w:t>
      </w:r>
    </w:p>
    <w:p w:rsidR="0063423E" w:rsidRPr="0063423E" w:rsidRDefault="0063423E" w:rsidP="0063423E">
      <w:pPr>
        <w:spacing w:after="0" w:line="240" w:lineRule="auto"/>
        <w:jc w:val="both"/>
        <w:rPr>
          <w:rFonts w:eastAsia="Times New Roman" w:cs="Times New Roman"/>
          <w:szCs w:val="24"/>
          <w:lang w:eastAsia="es-CO"/>
        </w:rPr>
      </w:pPr>
      <w:r w:rsidRPr="0063423E">
        <w:rPr>
          <w:rFonts w:ascii="Segoe UI" w:eastAsia="Times New Roman" w:hAnsi="Segoe UI" w:cs="Segoe UI"/>
          <w:sz w:val="22"/>
          <w:lang w:eastAsia="es-CO"/>
        </w:rPr>
        <w:t> </w:t>
      </w:r>
    </w:p>
    <w:p w:rsidR="0063423E" w:rsidRPr="0063423E" w:rsidRDefault="0063423E" w:rsidP="0063423E">
      <w:pPr>
        <w:spacing w:after="0" w:line="240" w:lineRule="auto"/>
        <w:jc w:val="both"/>
        <w:rPr>
          <w:rFonts w:eastAsia="Times New Roman" w:cs="Times New Roman"/>
          <w:szCs w:val="24"/>
          <w:lang w:eastAsia="es-CO"/>
        </w:rPr>
      </w:pPr>
      <w:r w:rsidRPr="0063423E">
        <w:rPr>
          <w:rFonts w:ascii="Segoe UI" w:eastAsia="Times New Roman" w:hAnsi="Segoe UI" w:cs="Segoe UI"/>
          <w:sz w:val="22"/>
          <w:lang w:eastAsia="es-CO"/>
        </w:rPr>
        <w:t> </w:t>
      </w:r>
      <w:bookmarkStart w:id="0" w:name="_GoBack"/>
      <w:bookmarkEnd w:id="0"/>
    </w:p>
    <w:p w:rsidR="0063423E" w:rsidRPr="0063423E" w:rsidRDefault="0063423E" w:rsidP="0063423E">
      <w:pPr>
        <w:spacing w:after="0" w:line="240" w:lineRule="auto"/>
        <w:jc w:val="both"/>
        <w:rPr>
          <w:rFonts w:eastAsia="Times New Roman" w:cs="Times New Roman"/>
          <w:szCs w:val="24"/>
          <w:lang w:eastAsia="es-CO"/>
        </w:rPr>
      </w:pPr>
      <w:r w:rsidRPr="0063423E">
        <w:rPr>
          <w:rFonts w:ascii="Segoe UI" w:eastAsia="Times New Roman" w:hAnsi="Segoe UI" w:cs="Segoe UI"/>
          <w:b/>
          <w:sz w:val="22"/>
          <w:lang w:eastAsia="es-CO"/>
        </w:rPr>
        <w:t>La Directora de Gestión Jurídica,</w:t>
      </w:r>
    </w:p>
    <w:p w:rsidR="0063423E" w:rsidRPr="0063423E" w:rsidRDefault="0063423E" w:rsidP="0063423E">
      <w:pPr>
        <w:spacing w:after="0" w:line="240" w:lineRule="auto"/>
        <w:jc w:val="both"/>
        <w:rPr>
          <w:rFonts w:eastAsia="Times New Roman" w:cs="Times New Roman"/>
          <w:szCs w:val="24"/>
          <w:lang w:eastAsia="es-CO"/>
        </w:rPr>
      </w:pPr>
      <w:r w:rsidRPr="0063423E">
        <w:rPr>
          <w:rFonts w:ascii="Segoe UI" w:eastAsia="Times New Roman" w:hAnsi="Segoe UI" w:cs="Segoe UI"/>
          <w:b/>
          <w:i/>
          <w:iCs/>
          <w:szCs w:val="24"/>
          <w:lang w:eastAsia="es-CO"/>
        </w:rPr>
        <w:t> </w:t>
      </w:r>
    </w:p>
    <w:p w:rsidR="0063423E" w:rsidRPr="0063423E" w:rsidRDefault="0063423E" w:rsidP="0063423E">
      <w:pPr>
        <w:spacing w:after="0" w:line="240" w:lineRule="auto"/>
        <w:jc w:val="both"/>
        <w:rPr>
          <w:rFonts w:eastAsia="Times New Roman" w:cs="Times New Roman"/>
          <w:szCs w:val="24"/>
          <w:lang w:eastAsia="es-CO"/>
        </w:rPr>
      </w:pPr>
      <w:r w:rsidRPr="0063423E">
        <w:rPr>
          <w:rFonts w:ascii="Segoe UI" w:eastAsia="Times New Roman" w:hAnsi="Segoe UI" w:cs="Segoe UI"/>
          <w:i/>
          <w:iCs/>
          <w:szCs w:val="24"/>
          <w:lang w:eastAsia="es-CO"/>
        </w:rPr>
        <w:t>Dalila Astrid Hernández Corzo.</w:t>
      </w:r>
    </w:p>
    <w:p w:rsidR="0063423E" w:rsidRPr="0063423E" w:rsidRDefault="0063423E" w:rsidP="0063423E">
      <w:pPr>
        <w:spacing w:after="0" w:line="240" w:lineRule="auto"/>
        <w:jc w:val="both"/>
        <w:rPr>
          <w:rFonts w:eastAsia="Times New Roman" w:cs="Times New Roman"/>
          <w:szCs w:val="24"/>
          <w:lang w:eastAsia="es-CO"/>
        </w:rPr>
      </w:pPr>
      <w:r w:rsidRPr="0063423E">
        <w:rPr>
          <w:rFonts w:ascii="Segoe UI" w:eastAsia="Times New Roman" w:hAnsi="Segoe UI" w:cs="Segoe UI"/>
          <w:i/>
          <w:iCs/>
          <w:szCs w:val="24"/>
          <w:lang w:eastAsia="es-CO"/>
        </w:rPr>
        <w:t> </w:t>
      </w:r>
    </w:p>
    <w:p w:rsidR="0063423E" w:rsidRPr="0063423E" w:rsidRDefault="0063423E" w:rsidP="0063423E">
      <w:pPr>
        <w:spacing w:after="0" w:line="240" w:lineRule="auto"/>
        <w:jc w:val="both"/>
        <w:rPr>
          <w:rFonts w:eastAsia="Times New Roman" w:cs="Times New Roman"/>
          <w:szCs w:val="24"/>
          <w:lang w:eastAsia="es-CO"/>
        </w:rPr>
      </w:pPr>
      <w:r w:rsidRPr="0063423E">
        <w:rPr>
          <w:rFonts w:ascii="Segoe UI" w:eastAsia="Times New Roman" w:hAnsi="Segoe UI" w:cs="Segoe UI"/>
          <w:i/>
          <w:iCs/>
          <w:szCs w:val="24"/>
          <w:lang w:eastAsia="es-CO"/>
        </w:rPr>
        <w:t> </w:t>
      </w:r>
    </w:p>
    <w:p w:rsidR="0063423E" w:rsidRPr="0063423E" w:rsidRDefault="0063423E" w:rsidP="0063423E">
      <w:pPr>
        <w:spacing w:after="0" w:line="240" w:lineRule="auto"/>
        <w:jc w:val="both"/>
        <w:rPr>
          <w:rFonts w:eastAsia="Times New Roman" w:cs="Times New Roman"/>
          <w:szCs w:val="24"/>
          <w:lang w:eastAsia="es-CO"/>
        </w:rPr>
      </w:pPr>
      <w:r w:rsidRPr="0063423E">
        <w:rPr>
          <w:rFonts w:ascii="Segoe UI" w:eastAsia="Times New Roman" w:hAnsi="Segoe UI" w:cs="Segoe UI"/>
          <w:b/>
          <w:iCs/>
          <w:sz w:val="20"/>
          <w:lang w:eastAsia="es-CO"/>
        </w:rPr>
        <w:t>Publicado en D.O. 49.670 del 19 de octubre de 2015.</w:t>
      </w:r>
    </w:p>
    <w:p w:rsidR="00961BFA" w:rsidRDefault="00961BFA" w:rsidP="0063423E">
      <w:pPr>
        <w:jc w:val="both"/>
      </w:pPr>
    </w:p>
    <w:sectPr w:rsidR="00961BFA"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23E"/>
    <w:rsid w:val="0029351E"/>
    <w:rsid w:val="0063423E"/>
    <w:rsid w:val="00961BFA"/>
    <w:rsid w:val="00B94BED"/>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423643-B2A8-4EE7-BEDB-651364039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0299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ta.org.co/html/vista_de_un_articulo.asp?Norma=26860" TargetMode="External"/><Relationship Id="rId3" Type="http://schemas.openxmlformats.org/officeDocument/2006/relationships/webSettings" Target="webSettings.xml"/><Relationship Id="rId7" Type="http://schemas.openxmlformats.org/officeDocument/2006/relationships/hyperlink" Target="http://www.ceta.org.co/html/vista_de_un_articulo.asp?Norma=2686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eta.org.co/html/vista_de_un_articulo.asp?Norma=26860" TargetMode="External"/><Relationship Id="rId5" Type="http://schemas.openxmlformats.org/officeDocument/2006/relationships/hyperlink" Target="http://www.ceta.org.co/html/vista_de_un_articulo.asp?Norma=26860" TargetMode="External"/><Relationship Id="rId10" Type="http://schemas.openxmlformats.org/officeDocument/2006/relationships/theme" Target="theme/theme1.xml"/><Relationship Id="rId4" Type="http://schemas.openxmlformats.org/officeDocument/2006/relationships/hyperlink" Target="http://www.ceta.org.co/html/vista_de_un_articulo.asp?Norma=26860"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735</Words>
  <Characters>4048</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1</cp:revision>
  <dcterms:created xsi:type="dcterms:W3CDTF">2015-10-24T00:22:00Z</dcterms:created>
  <dcterms:modified xsi:type="dcterms:W3CDTF">2015-10-24T00:24:00Z</dcterms:modified>
</cp:coreProperties>
</file>